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hd w:val="clear" w:color="auto" w:fill="73FA79"/>
        </w:rPr>
        <w:t>铜</w:t>
      </w: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</w:rPr>
        <w:t>大跌是短期买入时机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决定铜价走势的主要是宏观经济预期和微观供需基本面，去年来宏观影响更为明显。近段中美贸易摩擦以及中美的贸易谈判进展影响铜价波动。但中期看，宏观上世界经济走缓预期非常明显，另一方面铜供应紧张也成为常态，库存明显低于去年同期。总体而言，宏观上中长期走弱，供应紧张形成多空交织，铜价陷入宽幅震荡。微观上铜本身市场结构方面，交易所显性库存总体上仍在减少并大幅小于去年同期水平，给铜市一定的支撑。上周中国假期外盘大跌，本周预期铜价探底回升，策略上维持投资者可以逢急跌大跌买入，中期持有，急冲高后一定需部分减仓待回落后再重建多头，短期看48000附近可以尝试买进。</w:t>
      </w:r>
    </w:p>
    <w:p w:rsidR="00DE07F2" w:rsidRDefault="00DE07F2" w:rsidP="00DE07F2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  <w:shd w:val="clear" w:color="auto" w:fill="A5C8FF"/>
        </w:rPr>
        <w:t>原油</w:t>
      </w:r>
    </w:p>
    <w:p w:rsidR="00DE07F2" w:rsidRDefault="00DE07F2" w:rsidP="00DE07F2">
      <w:pPr>
        <w:pStyle w:val="a5"/>
        <w:spacing w:before="0" w:beforeAutospacing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EIA公布美国商业原油库存升至2017年10月来最高, 录得超预期增加，推动了油价小幅回调，成品油方面，随着需求高峰期的来临，汽油以及精炼油库存连续下降，同时炼油厂开工率也大幅上升，随着地缘局势的恶化，这些因素抵消了部分利空影响，中期来看继续维持国际油价上涨思路观点。</w:t>
      </w:r>
    </w:p>
    <w:p w:rsidR="00DE07F2" w:rsidRDefault="00DE07F2" w:rsidP="00DE07F2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hd w:val="clear" w:color="auto" w:fill="FFFED5"/>
        </w:rPr>
        <w:t>橡胶</w:t>
      </w:r>
    </w:p>
    <w:p w:rsidR="00DE07F2" w:rsidRDefault="00DE07F2" w:rsidP="00DE07F2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上周橡胶走势延续弱势震荡，主力围绕11500附近盘整，盘面多空分歧较大，基本面乏善可陈，目前橡胶利空因素主要基于供应预期释放和下游需求低迷，贸易环节高库存难以缓解是持续性压力，期现价差收窄回归，橡胶主力大幅下跌概率也不大，接下来沪胶或以窄幅震荡为主。</w:t>
      </w:r>
    </w:p>
    <w:p w:rsidR="00DE07F2" w:rsidRDefault="00DE07F2" w:rsidP="00DE07F2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000000"/>
          <w:shd w:val="clear" w:color="auto" w:fill="73FCD6"/>
        </w:rPr>
        <w:t>甲醇</w:t>
      </w: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</w:rPr>
        <w:t>甲醇第一阶段季节性周期结束或进入第二阶段</w:t>
      </w: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</w:rPr>
        <w:t>（震荡）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1. 甲醇第一阶段季节性因素基本结束，或进入第二阶段。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2. 随着检修的陆续结束，甲醇上游开工明显回升，但随着价格的下行，上游利润同步回落。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3. 下游利润上涨明显，开工率走强，MTO处于高位运行。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4. 港口库存或再次转入累库阶段，未来大概率重回高库存。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5. 后市展望，甲醇或长期维持“三高”状况（高开工率、高库存、高利润），但由于价格已濒临上游停车线，因此绝对价格的下行空间相对有限。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6. 本周甲醇以宽幅区间震荡的思路参与交易。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hd w:val="clear" w:color="auto" w:fill="D4FA00"/>
        </w:rPr>
        <w:t>油脂类</w:t>
      </w: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</w:rPr>
        <w:t>价格接近低位，短期有望反弹</w:t>
      </w: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1、大方向延续前期观点，即当前豆棕油脂价格上有压力、下有支撑，价格仍将处于宽幅震荡区间当中。短期来看，豆棕油脂距离强支撑较近，反弹概率增加。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lastRenderedPageBreak/>
        <w:t>2、棕榈油方面，国内港口库存维持高位，产地棕榈油再过节期间利空频传，短期内让棕榈油价格大幅下探。但当前利空基本释放完毕，市场风险情绪在短期内有望修复，且当前价格再度接近历史极值，短期来看反弹概率正在不断积累。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3、豆油方面，前期南美大豆丰产以及全球大豆的高库存的背景下，豆油价格出现大幅下跌，与棕榈油类似，当前价格接近历史低位，利空基本被释放，因而短期继续下行的概率较低。但当前的油脂基本面并不支持出现大牛市，因此我们认为豆棕两油价格仍将维持宽幅震荡。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4、豆棕价差方面，后期大方向考虑多豆空棕，但目前价差性价比偏低，建议耐心等待。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 </w:t>
      </w:r>
      <w:r>
        <w:rPr>
          <w:rStyle w:val="a6"/>
          <w:rFonts w:ascii="Microsoft YaHei UI" w:eastAsia="Microsoft YaHei UI" w:hAnsi="Microsoft YaHei UI" w:hint="eastAsia"/>
          <w:color w:val="333333"/>
          <w:shd w:val="clear" w:color="auto" w:fill="FFFB00"/>
        </w:rPr>
        <w:t>玉米&amp;淀粉</w:t>
      </w:r>
    </w:p>
    <w:p w:rsidR="00DE07F2" w:rsidRDefault="00DE07F2" w:rsidP="00DE07F2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  </w:t>
      </w: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</w:rPr>
        <w:t>供给相对较少，需求没有明显好转</w:t>
      </w:r>
    </w:p>
    <w:p w:rsidR="00DE07F2" w:rsidRDefault="00DE07F2" w:rsidP="00DE07F2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1．贸易谈判进展顺利，替代谷物进口预期担忧情绪仍在，近几个月配额内进口玉米陆续到港 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2.基层粮基本售完，从新粮收购看，截止4月10日，玉米收购10099万吨，同比增加848万吨。新季度种植即将开始，预计种植面积小幅减少。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3. 生猪存栏环比下降，猪肉价格小幅上涨，养殖利润小幅回升，饲料需求仍没有明显好转。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4. 玉米现货微降，淀粉价格基本持平。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5. 深加工开机率高位运行，淀粉库存小幅减少。</w:t>
      </w:r>
    </w:p>
    <w:p w:rsidR="00DE07F2" w:rsidRDefault="00DE07F2" w:rsidP="00DE07F2">
      <w:pPr>
        <w:pStyle w:val="a5"/>
        <w:spacing w:before="0" w:beforeAutospacing="0" w:afterAutospacing="0"/>
        <w:jc w:val="both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Fonts w:ascii="Microsoft YaHei UI" w:eastAsia="Microsoft YaHei UI" w:hAnsi="Microsoft YaHei UI" w:hint="eastAsia"/>
          <w:color w:val="333333"/>
          <w:sz w:val="17"/>
          <w:szCs w:val="17"/>
        </w:rPr>
        <w:t>       综上，基层量基本已经售完，进口玉米陆续到港，贸易谈判进展顺利，仍存进口预期担忧，猪肉价格上涨，存栏继续下降，饲料需求短期难有起色，深加工开机仍然很高，玉米最近涨势明显，操作上逐步减仓，价格回调后继续买单进场，价差方面逐渐向91月过渡。  </w:t>
      </w:r>
    </w:p>
    <w:p w:rsidR="00DE07F2" w:rsidRDefault="00DE07F2" w:rsidP="00DE07F2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</w:p>
    <w:p w:rsidR="00DE07F2" w:rsidRDefault="00DE07F2" w:rsidP="00DE07F2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7"/>
          <w:szCs w:val="17"/>
        </w:rPr>
      </w:pPr>
      <w:r>
        <w:rPr>
          <w:rStyle w:val="a6"/>
          <w:rFonts w:ascii="Microsoft YaHei UI" w:eastAsia="Microsoft YaHei UI" w:hAnsi="Microsoft YaHei UI" w:hint="eastAsia"/>
          <w:color w:val="000000"/>
          <w:sz w:val="15"/>
          <w:szCs w:val="15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DB0665" w:rsidRPr="00DE07F2" w:rsidRDefault="00DB0665"/>
    <w:sectPr w:rsidR="00DB0665" w:rsidRPr="00DE0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65" w:rsidRDefault="00DB0665" w:rsidP="00DE07F2">
      <w:r>
        <w:separator/>
      </w:r>
    </w:p>
  </w:endnote>
  <w:endnote w:type="continuationSeparator" w:id="1">
    <w:p w:rsidR="00DB0665" w:rsidRDefault="00DB0665" w:rsidP="00DE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65" w:rsidRDefault="00DB0665" w:rsidP="00DE07F2">
      <w:r>
        <w:separator/>
      </w:r>
    </w:p>
  </w:footnote>
  <w:footnote w:type="continuationSeparator" w:id="1">
    <w:p w:rsidR="00DB0665" w:rsidRDefault="00DB0665" w:rsidP="00DE0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7F2"/>
    <w:rsid w:val="00DB0665"/>
    <w:rsid w:val="00DE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7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7F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07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E0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2019-05-08T12:15:00Z</dcterms:created>
  <dcterms:modified xsi:type="dcterms:W3CDTF">2019-05-08T12:15:00Z</dcterms:modified>
</cp:coreProperties>
</file>