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E3" w:rsidRDefault="00392BE3" w:rsidP="00174F37">
      <w:pPr>
        <w:pStyle w:val="a5"/>
        <w:spacing w:before="0" w:beforeAutospacing="0" w:after="0" w:afterAutospacing="0"/>
        <w:jc w:val="center"/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</w:pPr>
      <w:r w:rsidRPr="00392BE3"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金鹏-</w:t>
      </w:r>
      <w:proofErr w:type="gramStart"/>
      <w:r w:rsidRPr="00392BE3"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品种周度</w:t>
      </w:r>
      <w:proofErr w:type="gramEnd"/>
      <w:r w:rsidRPr="00392BE3"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观点</w:t>
      </w:r>
    </w:p>
    <w:p w:rsidR="00392BE3" w:rsidRPr="00392BE3" w:rsidRDefault="00392BE3" w:rsidP="00174F37">
      <w:pPr>
        <w:pStyle w:val="a5"/>
        <w:spacing w:before="0" w:beforeAutospacing="0" w:after="0" w:afterAutospacing="0"/>
        <w:jc w:val="center"/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</w:pPr>
    </w:p>
    <w:p w:rsidR="00174F37" w:rsidRDefault="00174F37" w:rsidP="00174F3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FFFB00"/>
        </w:rPr>
        <w:t>油脂类</w:t>
      </w:r>
    </w:p>
    <w:p w:rsidR="00174F37" w:rsidRDefault="00174F37" w:rsidP="00174F3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利空逐步释放，油脂维持震荡</w:t>
      </w:r>
    </w:p>
    <w:p w:rsidR="00174F37" w:rsidRDefault="00174F37" w:rsidP="00174F37">
      <w:pPr>
        <w:pStyle w:val="a5"/>
        <w:spacing w:before="0" w:beforeAutospacing="0" w:after="15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1、大方向延续前期观点，即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当前豆棕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油脂价格上有压力、下有支撑，价格仍将处于宽幅震荡区间当中。短期来看，豆棕油脂距离强支撑较近，反弹概率增加。</w:t>
      </w:r>
    </w:p>
    <w:p w:rsidR="00174F37" w:rsidRDefault="00174F37" w:rsidP="00174F37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2、</w:t>
      </w: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棕榈油方面</w:t>
      </w:r>
      <w:r>
        <w:rPr>
          <w:rFonts w:ascii="微软雅黑" w:eastAsia="微软雅黑" w:hAnsi="微软雅黑" w:hint="eastAsia"/>
          <w:color w:val="333333"/>
          <w:sz w:val="26"/>
          <w:szCs w:val="26"/>
        </w:rPr>
        <w:t>，供给端利空主要集中在东南亚主产国增产季节到来，以及前期进口利润打开造成的国内到港棕榈油所形成的库存。目前来看，东南亚棕榈油主产国的增产周期仍会持续，且未来一段时间，国内的油脂消费并非旺季，因此供应压力仍在，对油脂价格的反弹高度存在一定的压制作用。但是，当前内外盘棕榈油价格接近历史低位，对于现有利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空反应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的较为充分，在次前提下，我们不建议进一步看空棕榈油价格，反而是短期内利空出尽后价格存在一定的反弹动能。</w:t>
      </w:r>
    </w:p>
    <w:p w:rsidR="00174F37" w:rsidRDefault="00174F37" w:rsidP="00174F37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3、</w:t>
      </w: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豆油方面</w:t>
      </w:r>
      <w:r>
        <w:rPr>
          <w:rFonts w:ascii="微软雅黑" w:eastAsia="微软雅黑" w:hAnsi="微软雅黑" w:hint="eastAsia"/>
          <w:color w:val="333333"/>
          <w:sz w:val="26"/>
          <w:szCs w:val="26"/>
        </w:rPr>
        <w:t>，纯粹的供需层面而言，全球大豆整体供应过剩的大背景严重制约了豆油价格的上涨幅度，加之国内油脂压榨行业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榨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利有所恢复，压榨量略有上行，使得豆油的短期供给略有增加，同时也扭转了年初以来持续的将库存过程。因此，从国内外两方面来看，豆油供需层面同棕榈油类似，同样相对偏空。但短期来看，除了价格接近绝地低位之外，豆油还受到中美贸易摩擦等风险因素的影响，同样我们认为当前豆油价格存在一定的反弹概率。</w:t>
      </w:r>
    </w:p>
    <w:p w:rsidR="00174F37" w:rsidRDefault="00174F37" w:rsidP="00174F37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4、</w:t>
      </w: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豆棕价差方面</w:t>
      </w:r>
      <w:r>
        <w:rPr>
          <w:rFonts w:ascii="微软雅黑" w:eastAsia="微软雅黑" w:hAnsi="微软雅黑" w:hint="eastAsia"/>
          <w:color w:val="333333"/>
          <w:sz w:val="26"/>
          <w:szCs w:val="26"/>
        </w:rPr>
        <w:t>，后期大方向考虑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多豆空棕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，但目前价差性价比偏低，建议耐心等待。</w:t>
      </w:r>
    </w:p>
    <w:p w:rsidR="00174F37" w:rsidRDefault="00174F37" w:rsidP="00174F37">
      <w:pPr>
        <w:pStyle w:val="a5"/>
        <w:spacing w:before="0" w:beforeAutospacing="0" w:after="0" w:afterAutospacing="0"/>
        <w:rPr>
          <w:rFonts w:ascii="微软雅黑" w:eastAsia="微软雅黑" w:hAnsi="微软雅黑"/>
          <w:color w:val="333333"/>
          <w:sz w:val="26"/>
          <w:szCs w:val="26"/>
        </w:rPr>
      </w:pPr>
    </w:p>
    <w:p w:rsidR="00174F37" w:rsidRDefault="00174F37" w:rsidP="00174F3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A5C8FF"/>
        </w:rPr>
        <w:t>玉米&amp;淀粉</w:t>
      </w:r>
    </w:p>
    <w:p w:rsidR="00174F37" w:rsidRDefault="00174F37" w:rsidP="00174F3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贸易战预期加剧，短期震荡偏强</w:t>
      </w:r>
    </w:p>
    <w:p w:rsidR="00174F37" w:rsidRDefault="00174F37" w:rsidP="00174F37">
      <w:pPr>
        <w:pStyle w:val="a5"/>
        <w:spacing w:before="0" w:beforeAutospacing="0" w:after="15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1．贸易战预期加剧，前期进口玉米放开被打消，供给偏紧再次回到常态。</w:t>
      </w:r>
    </w:p>
    <w:p w:rsidR="00174F37" w:rsidRDefault="00174F37" w:rsidP="00174F37">
      <w:pPr>
        <w:pStyle w:val="a5"/>
        <w:spacing w:before="0" w:beforeAutospacing="0" w:after="15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2. 基层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粮基本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售完，从新粮收购看，截止4月10日，玉米收购10099万吨，同比增加848万吨。新季度种植即将开始，预计种植面积小幅减少。</w:t>
      </w:r>
    </w:p>
    <w:p w:rsidR="00174F37" w:rsidRDefault="00174F37" w:rsidP="00174F37">
      <w:pPr>
        <w:pStyle w:val="a5"/>
        <w:spacing w:before="0" w:beforeAutospacing="0" w:after="15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3. 生猪存栏环比下降，养殖利润小幅回落，饲料需求仍没有明显好转。</w:t>
      </w:r>
    </w:p>
    <w:p w:rsidR="00174F37" w:rsidRDefault="00174F37" w:rsidP="00174F37">
      <w:pPr>
        <w:pStyle w:val="a5"/>
        <w:spacing w:before="0" w:beforeAutospacing="0" w:after="15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4. 玉米现货持平，淀粉价格基本持平。</w:t>
      </w:r>
    </w:p>
    <w:p w:rsidR="00174F37" w:rsidRDefault="00174F37" w:rsidP="00174F37">
      <w:pPr>
        <w:pStyle w:val="a5"/>
        <w:spacing w:before="0" w:beforeAutospacing="0" w:after="15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5. 深加工开机率高位运行，淀粉库存小幅增加。</w:t>
      </w:r>
    </w:p>
    <w:p w:rsidR="00174F37" w:rsidRDefault="00174F37" w:rsidP="00174F37">
      <w:pPr>
        <w:pStyle w:val="a5"/>
        <w:spacing w:before="0" w:beforeAutospacing="0" w:after="15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综上，基层量基本已经售完，贸易战预期加剧，前期进口放开被打消，猪肉价格上涨，存栏继续下降，饲料需求短期难有起色，深加工开机仍然很高，玉米最近涨势明显，操作上逐步减仓，价格回调后继续买单进场，价差方面逐渐向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月过渡。  </w:t>
      </w:r>
    </w:p>
    <w:p w:rsidR="00174F37" w:rsidRDefault="00174F37" w:rsidP="00174F37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</w:p>
    <w:p w:rsidR="00174F37" w:rsidRDefault="00174F37" w:rsidP="00174F3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  <w:shd w:val="clear" w:color="auto" w:fill="73FA79"/>
        </w:rPr>
        <w:t>铜</w:t>
      </w:r>
    </w:p>
    <w:p w:rsidR="00174F37" w:rsidRDefault="00174F37" w:rsidP="00174F3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低位下探仍是短期买入时机</w:t>
      </w:r>
    </w:p>
    <w:p w:rsidR="00174F37" w:rsidRDefault="00174F37" w:rsidP="00174F37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决定铜价走势的主要是宏观经济预期和微观供需基本面，去年来宏观影响更为明显。近段中美贸易摩擦以及中美的贸易谈判进展影响铜价波动。但中期看，宏观上世界经济走缓预期非常明显，另一方面铜供应紧张也成为</w:t>
      </w: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常态，库存明显低于去年同期。总体而言，宏观上中长期走弱，供应紧张形成多空交织，铜价陷入宽幅震荡。微观上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铜本身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市场结构方面，交易所显性库存总体上仍在减少并大幅小于去年同期水平，给铜市一定的支撑。上周中美贸易谈判一波三折目前仍不明朗，本周预期铜价探底回升，策略上维持投资者可以逢急跌大跌买入，中期持有，急冲高后一定需部分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减仓待回落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后再重建多头，短期看48000以下可以继续尝试买进。</w:t>
      </w:r>
    </w:p>
    <w:p w:rsidR="00174F37" w:rsidRDefault="00174F37" w:rsidP="00174F37">
      <w:pPr>
        <w:pStyle w:val="a5"/>
        <w:spacing w:before="0" w:beforeAutospacing="0" w:after="0" w:afterAutospacing="0"/>
        <w:rPr>
          <w:rFonts w:ascii="微软雅黑" w:eastAsia="微软雅黑" w:hAnsi="微软雅黑"/>
          <w:color w:val="333333"/>
          <w:sz w:val="26"/>
          <w:szCs w:val="26"/>
        </w:rPr>
      </w:pPr>
    </w:p>
    <w:p w:rsidR="00174F37" w:rsidRDefault="00174F37" w:rsidP="00174F3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FFACD5"/>
        </w:rPr>
        <w:t>甲醇</w:t>
      </w:r>
    </w:p>
    <w:p w:rsidR="00174F37" w:rsidRDefault="00174F37" w:rsidP="00174F3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上游复产下游疲软，基本面较差但边际转好</w:t>
      </w:r>
    </w:p>
    <w:p w:rsidR="00174F37" w:rsidRDefault="00174F37" w:rsidP="00174F3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（震荡）</w:t>
      </w:r>
    </w:p>
    <w:p w:rsidR="00174F37" w:rsidRDefault="00174F37" w:rsidP="00174F37">
      <w:pPr>
        <w:pStyle w:val="a5"/>
        <w:spacing w:before="0" w:beforeAutospacing="0" w:after="15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1. 随着检修结束，甲醇第一阶段季节性因素基本结束，甲醇上游复工明显回升，但下游需求疲弱，增长乏力。</w:t>
      </w:r>
    </w:p>
    <w:p w:rsidR="00174F37" w:rsidRDefault="00174F37" w:rsidP="00174F37">
      <w:pPr>
        <w:pStyle w:val="a5"/>
        <w:spacing w:before="0" w:beforeAutospacing="0" w:after="15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2. 上下游利润来看，下游成本有支撑，上游利润走弱，</w:t>
      </w:r>
      <w:proofErr w:type="spellStart"/>
      <w:r>
        <w:rPr>
          <w:rFonts w:ascii="微软雅黑" w:eastAsia="微软雅黑" w:hAnsi="微软雅黑" w:hint="eastAsia"/>
          <w:color w:val="333333"/>
          <w:sz w:val="26"/>
          <w:szCs w:val="26"/>
        </w:rPr>
        <w:t>mto</w:t>
      </w:r>
      <w:proofErr w:type="spellEnd"/>
      <w:r>
        <w:rPr>
          <w:rFonts w:ascii="微软雅黑" w:eastAsia="微软雅黑" w:hAnsi="微软雅黑" w:hint="eastAsia"/>
          <w:color w:val="333333"/>
          <w:sz w:val="26"/>
          <w:szCs w:val="26"/>
        </w:rPr>
        <w:t>利润开始下滑。</w:t>
      </w:r>
    </w:p>
    <w:p w:rsidR="00174F37" w:rsidRDefault="00174F37" w:rsidP="00174F37">
      <w:pPr>
        <w:pStyle w:val="a5"/>
        <w:spacing w:before="0" w:beforeAutospacing="0" w:after="15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3. 港口库存或再次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转入累库阶段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，未来大概率重回高库存。</w:t>
      </w:r>
    </w:p>
    <w:p w:rsidR="00174F37" w:rsidRDefault="00174F37" w:rsidP="00174F37">
      <w:pPr>
        <w:pStyle w:val="a5"/>
        <w:spacing w:before="0" w:beforeAutospacing="0" w:after="15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4. 后市展望，甲醇基本面较弱，但是安全边际较高，可逢低买入。</w:t>
      </w:r>
    </w:p>
    <w:p w:rsidR="00174F37" w:rsidRDefault="00174F37" w:rsidP="00174F37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5. </w:t>
      </w: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操作策略</w:t>
      </w:r>
      <w:r>
        <w:rPr>
          <w:rFonts w:ascii="微软雅黑" w:eastAsia="微软雅黑" w:hAnsi="微软雅黑" w:hint="eastAsia"/>
          <w:color w:val="333333"/>
          <w:sz w:val="26"/>
          <w:szCs w:val="26"/>
        </w:rPr>
        <w:t>，以震荡为主，价格2350以下买入建仓，2500左右盈利离场。</w:t>
      </w:r>
    </w:p>
    <w:p w:rsidR="00174F37" w:rsidRDefault="00174F37" w:rsidP="00174F37">
      <w:pPr>
        <w:pStyle w:val="a5"/>
        <w:spacing w:before="0" w:beforeAutospacing="0" w:after="0" w:afterAutospacing="0"/>
        <w:rPr>
          <w:rFonts w:ascii="微软雅黑" w:eastAsia="微软雅黑" w:hAnsi="微软雅黑"/>
          <w:color w:val="333333"/>
          <w:sz w:val="26"/>
          <w:szCs w:val="26"/>
        </w:rPr>
      </w:pPr>
    </w:p>
    <w:p w:rsidR="00174F37" w:rsidRDefault="00174F37" w:rsidP="00174F37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00D100"/>
        </w:rPr>
        <w:t>原油</w:t>
      </w:r>
    </w:p>
    <w:p w:rsidR="00174F37" w:rsidRDefault="00174F37" w:rsidP="00174F37">
      <w:pPr>
        <w:pStyle w:val="a5"/>
        <w:spacing w:before="0" w:beforeAutospacing="0" w:after="0" w:afterAutospacing="0" w:line="383" w:lineRule="atLeast"/>
        <w:ind w:left="42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EIA公布美国商业原油库存减少396.3万桶至4.66604亿桶，汽油和精炼油库存亦录得减少,强劲的汽油需求可能导致未来几周随着驾驶季节临近而进一步下降,这一点将继续支撑油价上升。整个油市来看，OPE仍在遵守减产协议，而美国自身供应已经在收紧，但亚洲需求依旧强劲。周三海关数据显示，中国4月原油进口量创下本月纪录，达到1060万桶/日，中国成为世界上最大的石油进口国，对油市供应不足的担忧推动了油价的上行，继续维持国际油价上涨思路观点。</w:t>
      </w:r>
    </w:p>
    <w:p w:rsidR="00174F37" w:rsidRDefault="00174F37" w:rsidP="00174F37">
      <w:pPr>
        <w:pStyle w:val="a5"/>
        <w:spacing w:before="0" w:beforeAutospacing="0" w:after="0" w:afterAutospacing="0" w:line="383" w:lineRule="atLeast"/>
        <w:ind w:left="420"/>
        <w:jc w:val="both"/>
        <w:rPr>
          <w:rFonts w:ascii="微软雅黑" w:eastAsia="微软雅黑" w:hAnsi="微软雅黑"/>
          <w:color w:val="333333"/>
          <w:sz w:val="26"/>
          <w:szCs w:val="26"/>
        </w:rPr>
      </w:pPr>
    </w:p>
    <w:p w:rsidR="00174F37" w:rsidRDefault="00174F37" w:rsidP="00174F37">
      <w:pPr>
        <w:pStyle w:val="a5"/>
        <w:spacing w:before="0" w:beforeAutospacing="0" w:after="0" w:afterAutospacing="0" w:line="383" w:lineRule="atLeast"/>
        <w:ind w:left="420"/>
        <w:jc w:val="both"/>
        <w:rPr>
          <w:rFonts w:ascii="微软雅黑" w:eastAsia="微软雅黑" w:hAnsi="微软雅黑"/>
          <w:color w:val="333333"/>
          <w:sz w:val="26"/>
          <w:szCs w:val="26"/>
        </w:rPr>
      </w:pPr>
    </w:p>
    <w:p w:rsidR="00174F37" w:rsidRDefault="00174F37" w:rsidP="00174F37">
      <w:pPr>
        <w:pStyle w:val="a5"/>
        <w:spacing w:before="0" w:beforeAutospacing="0" w:after="0" w:afterAutospacing="0" w:line="383" w:lineRule="atLeast"/>
        <w:ind w:left="42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FFACD5"/>
        </w:rPr>
        <w:t>橡胶</w:t>
      </w:r>
    </w:p>
    <w:p w:rsidR="00174F37" w:rsidRDefault="00174F37" w:rsidP="00174F37">
      <w:pPr>
        <w:pStyle w:val="a5"/>
        <w:spacing w:before="0" w:beforeAutospacing="0" w:after="0" w:afterAutospacing="0" w:line="383" w:lineRule="atLeast"/>
        <w:ind w:left="42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橡胶这波强势主要来自于一方面受海关严查混合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胶政策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影响，此类多为越南3L胶，由于3L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胶性质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与全乳胶相同，在应用上抢占了大量国内全乳市场，此类胶主要用于鞋类、输送带等橡胶制品，一旦归类为天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胶进口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将进行征税，进口价格优势不再，将缓解国内全乳胶供应压力，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消化高库存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两者的替代关系决定进口成本抬升相当于对全乳胶价格的抬升，故此波是对全乳胶修复进口成本行情，2018年越南进口3L胶80.92万吨，而该政策不针对目前进口数量最大的混合标准胶。另一方面美国商务部撤销对中国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非公路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用轮胎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的双反令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，但鉴于目前中美贸易形势2000亿美元增收关税中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中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含轮胎，因此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撤销双反令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对橡胶整体影响有限，橡胶操作策略继续维持震荡思路对待，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沪胶大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周期正处于筑底的路上。</w:t>
      </w:r>
    </w:p>
    <w:p w:rsidR="00174F37" w:rsidRDefault="00174F37" w:rsidP="00174F37">
      <w:pPr>
        <w:pStyle w:val="a5"/>
        <w:spacing w:before="0" w:beforeAutospacing="0" w:after="0" w:afterAutospacing="0" w:line="383" w:lineRule="atLeast"/>
        <w:ind w:left="420"/>
        <w:jc w:val="both"/>
        <w:rPr>
          <w:rFonts w:ascii="微软雅黑" w:eastAsia="微软雅黑" w:hAnsi="微软雅黑"/>
          <w:color w:val="333333"/>
          <w:sz w:val="26"/>
          <w:szCs w:val="26"/>
        </w:rPr>
      </w:pPr>
    </w:p>
    <w:p w:rsidR="00174F37" w:rsidRDefault="00174F37" w:rsidP="00174F37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</w:p>
    <w:p w:rsidR="00174F37" w:rsidRDefault="00174F37" w:rsidP="00174F37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r>
        <w:rPr>
          <w:rFonts w:ascii="微软雅黑" w:eastAsia="微软雅黑" w:hAnsi="微软雅黑" w:hint="eastAsia"/>
          <w:color w:val="333333"/>
          <w:sz w:val="26"/>
          <w:szCs w:val="26"/>
        </w:rPr>
        <w:t> </w:t>
      </w:r>
    </w:p>
    <w:p w:rsidR="00174F37" w:rsidRDefault="00174F37" w:rsidP="00174F37">
      <w:pPr>
        <w:pStyle w:val="a5"/>
        <w:spacing w:before="0" w:beforeAutospacing="0" w:after="0" w:afterAutospacing="0" w:line="383" w:lineRule="atLeast"/>
        <w:ind w:left="420"/>
        <w:jc w:val="both"/>
        <w:rPr>
          <w:rFonts w:ascii="微软雅黑" w:eastAsia="微软雅黑" w:hAnsi="微软雅黑"/>
          <w:color w:val="333333"/>
          <w:sz w:val="26"/>
          <w:szCs w:val="26"/>
        </w:rPr>
      </w:pPr>
    </w:p>
    <w:p w:rsidR="00CD1FE3" w:rsidRPr="00174F37" w:rsidRDefault="00CD1FE3"/>
    <w:sectPr w:rsidR="00CD1FE3" w:rsidRPr="00174F37" w:rsidSect="00CD1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CA" w:rsidRDefault="00BF68CA" w:rsidP="00174F37">
      <w:r>
        <w:separator/>
      </w:r>
    </w:p>
  </w:endnote>
  <w:endnote w:type="continuationSeparator" w:id="0">
    <w:p w:rsidR="00BF68CA" w:rsidRDefault="00BF68CA" w:rsidP="0017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CA" w:rsidRDefault="00BF68CA" w:rsidP="00174F37">
      <w:r>
        <w:separator/>
      </w:r>
    </w:p>
  </w:footnote>
  <w:footnote w:type="continuationSeparator" w:id="0">
    <w:p w:rsidR="00BF68CA" w:rsidRDefault="00BF68CA" w:rsidP="00174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F37"/>
    <w:rsid w:val="00174F37"/>
    <w:rsid w:val="00392BE3"/>
    <w:rsid w:val="003C74FA"/>
    <w:rsid w:val="009D43D6"/>
    <w:rsid w:val="00BF68CA"/>
    <w:rsid w:val="00CD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F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F3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4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4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1789</Characters>
  <Application>Microsoft Office Word</Application>
  <DocSecurity>0</DocSecurity>
  <Lines>14</Lines>
  <Paragraphs>4</Paragraphs>
  <ScaleCrop>false</ScaleCrop>
  <Company>IT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2019-05-15T05:09:00Z</dcterms:created>
  <dcterms:modified xsi:type="dcterms:W3CDTF">2019-05-15T05:10:00Z</dcterms:modified>
</cp:coreProperties>
</file>