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8" w:rsidRPr="003F44FE" w:rsidRDefault="0018103C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bookmarkStart w:id="0" w:name="_GoBack"/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油脂类</w:t>
      </w:r>
    </w:p>
    <w:p w:rsidR="0018103C" w:rsidRPr="003F44FE" w:rsidRDefault="0018103C" w:rsidP="003F44FE">
      <w:pPr>
        <w:pStyle w:val="a3"/>
        <w:spacing w:beforeLines="50" w:before="156" w:afterLines="50" w:after="156" w:line="360" w:lineRule="auto"/>
        <w:ind w:firstLineChars="0" w:firstLine="0"/>
        <w:jc w:val="center"/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供应利多发酵，价格继续上行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1、</w:t>
      </w: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目前支持油脂价格上行的主要驱动因素仍是棕榈油产地的供应问题，市场对此前天气问题以及施肥不足等方面造成的减产预期仍有期待。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2、</w:t>
      </w: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棕榈油方面，价格回调后继续向上突破，目前仍在上行趋势当中。本周马来西亚棕榈油管理局将公布月度供需数据，该数据事关市场此前的预期能否被验证。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3、</w:t>
      </w: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豆油方面，当前豆油国内库存持续下滑，供应逐步偏紧，全球大豆库存仍在高位，难言紧张，豆油价格主要以跟随棕榈油为主。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豆棕价差方面，价差当前已回落至500附近，本轮操作底仓</w:t>
      </w:r>
      <w:proofErr w:type="gramStart"/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浮盈超过</w:t>
      </w:r>
      <w:proofErr w:type="gramEnd"/>
      <w:r w:rsidRPr="003F44FE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700点，加以平仓离场，等待价差扩大的机会。</w:t>
      </w:r>
    </w:p>
    <w:p w:rsidR="0018103C" w:rsidRPr="003F44FE" w:rsidRDefault="0018103C" w:rsidP="003F44FE">
      <w:pPr>
        <w:spacing w:beforeLines="50" w:before="156" w:afterLines="50" w:after="156" w:line="360" w:lineRule="auto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:rsidR="0018103C" w:rsidRPr="003F44FE" w:rsidRDefault="0018103C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b/>
          <w:color w:val="000000" w:themeColor="text1"/>
          <w:sz w:val="28"/>
          <w:szCs w:val="28"/>
        </w:rPr>
        <w:t>玉米淀粉</w:t>
      </w:r>
    </w:p>
    <w:p w:rsidR="0018103C" w:rsidRPr="003F44FE" w:rsidRDefault="0018103C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上量增大，短期价格或仍有一跌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1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贸易争端缓解，影响变小，关注后续政策。</w:t>
      </w:r>
    </w:p>
    <w:p w:rsidR="0018103C" w:rsidRPr="003F44FE" w:rsidRDefault="0018103C" w:rsidP="003F44FE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2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、</w:t>
      </w:r>
      <w:r w:rsidRPr="003F44FE">
        <w:rPr>
          <w:rFonts w:ascii="微软雅黑" w:eastAsia="微软雅黑" w:hAnsi="微软雅黑" w:cs="Arial" w:hint="eastAsia"/>
          <w:color w:val="000000" w:themeColor="text1"/>
          <w:sz w:val="28"/>
          <w:szCs w:val="28"/>
        </w:rPr>
        <w:t>东北主产区出货加快，今年的卖粮时间缩短，短期或仍有一跌。截止11月30日，主产区收购粮食1889万吨，同比减少606万吨。根据国家粮油中心统计，预计2019年播种面积为4153万公</w:t>
      </w:r>
      <w:r w:rsidRPr="003F44FE">
        <w:rPr>
          <w:rFonts w:ascii="微软雅黑" w:eastAsia="微软雅黑" w:hAnsi="微软雅黑" w:cs="Arial" w:hint="eastAsia"/>
          <w:color w:val="000000" w:themeColor="text1"/>
          <w:sz w:val="28"/>
          <w:szCs w:val="28"/>
        </w:rPr>
        <w:lastRenderedPageBreak/>
        <w:t>顷，比去年减少59.9万公顷，减幅1.%，预计产量2.554亿吨，比去年较少177万吨，降幅0.7%。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3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、</w:t>
      </w:r>
      <w:r w:rsidRPr="003F44FE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生猪存栏环比转正，养殖利润回落暂缓，猪瘟疫情反复，目前国家层面出台政策鼓励养猪，自北向南猪</w:t>
      </w:r>
      <w:proofErr w:type="gramStart"/>
      <w:r w:rsidRPr="003F44FE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料需求</w:t>
      </w:r>
      <w:proofErr w:type="gramEnd"/>
      <w:r w:rsidRPr="003F44FE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逐步恢复，疫苗仍未研制成功但取得了一些进展，养殖需求持续恢复仍需谨慎看待。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4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、</w:t>
      </w:r>
      <w:r w:rsidRPr="003F44FE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玉米现货价格变化不大，淀粉价格相对稳定。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5、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深加工开机率上升，淀粉库存小幅增加。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综上，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贸易政策影响力下降，关注后续政策利空影响，全国产量小幅减少，主产区上量加快，今年卖粮时间压缩，短期供给压力加大，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能繁母猪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存栏环比转正，猪肉价格飙升引发国家出台政策稳定生猪养殖行业需求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端未来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或有好转，但短期仍难有起色，深加工开机率季节性恢复，玉米价格或仍有一跌，下跌后可考虑适量布局多单，玉米淀粉1月价差逐步向5月过度。</w:t>
      </w:r>
    </w:p>
    <w:p w:rsidR="0018103C" w:rsidRPr="003F44FE" w:rsidRDefault="0018103C" w:rsidP="003F44FE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18103C" w:rsidRPr="003F44FE" w:rsidRDefault="0018103C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菜</w:t>
      </w:r>
      <w:proofErr w:type="gramStart"/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粕</w:t>
      </w:r>
      <w:proofErr w:type="gramEnd"/>
    </w:p>
    <w:p w:rsidR="0018103C" w:rsidRPr="003F44FE" w:rsidRDefault="0018103C" w:rsidP="003F44FE">
      <w:pPr>
        <w:spacing w:beforeLines="50" w:before="156" w:afterLines="50" w:after="156" w:line="360" w:lineRule="auto"/>
        <w:ind w:right="480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供应紧张 短期震荡偏强</w:t>
      </w:r>
    </w:p>
    <w:p w:rsidR="0018103C" w:rsidRPr="003F44FE" w:rsidRDefault="0018103C" w:rsidP="003F44FE">
      <w:pPr>
        <w:spacing w:beforeLines="50" w:before="156" w:afterLines="50" w:after="156" w:line="360" w:lineRule="auto"/>
        <w:ind w:right="480"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近期菜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2001合约突破底部震荡区间呈上涨趋势。中加关系不明朗，菜籽供应紧张，油厂开机率低等因素均刺激价格上涨。中美贸易摩擦反复，时好时坏，但市场普遍乐观。生猪存栏处于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低位，春节临近，预计节前将加速生猪和家禽出栏，不利于饲料消费。后期，随着国家生猪政策的落实和推动，生猪预计逐渐恢复，饲料需求上涨。短期菜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受中美贸易摩擦反复影响，震荡偏强，中长期受供应紧张支撑看涨。后期仍需继续关注中美贸易谈判情况，01合约可尝试布局多单。</w:t>
      </w:r>
    </w:p>
    <w:p w:rsidR="0018103C" w:rsidRPr="003F44FE" w:rsidRDefault="0018103C" w:rsidP="003F44FE">
      <w:pPr>
        <w:spacing w:beforeLines="50" w:before="156" w:afterLines="50" w:after="156" w:line="360" w:lineRule="auto"/>
        <w:ind w:right="480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18103C" w:rsidRPr="003F44FE" w:rsidRDefault="0018103C" w:rsidP="003F44FE">
      <w:pPr>
        <w:spacing w:beforeLines="50" w:before="156" w:afterLines="50" w:after="156" w:line="360" w:lineRule="auto"/>
        <w:ind w:right="480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豆</w:t>
      </w:r>
      <w:proofErr w:type="gramStart"/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粕</w:t>
      </w:r>
      <w:proofErr w:type="gramEnd"/>
    </w:p>
    <w:p w:rsidR="0018103C" w:rsidRPr="003F44FE" w:rsidRDefault="0018103C" w:rsidP="003F44FE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国内大豆本月集中到港，需求偏弱，</w:t>
      </w:r>
      <w:proofErr w:type="gramStart"/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类市场短期震荡运行</w:t>
      </w:r>
    </w:p>
    <w:p w:rsidR="0018103C" w:rsidRPr="003F44FE" w:rsidRDefault="0018103C" w:rsidP="003F44FE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18103C" w:rsidRPr="003F44FE" w:rsidRDefault="0018103C" w:rsidP="003F44FE">
      <w:pPr>
        <w:widowControl/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美豆收割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结束，产量下调基本确定。目前，中国和美国正在努力达成一项更为广泛的贸易协议，以缓和较为长期的贸易战，中国对个别公司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进口美豆和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猪肉的进口关税豁免，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美豆价格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开始反弹。</w:t>
      </w:r>
    </w:p>
    <w:p w:rsidR="0018103C" w:rsidRPr="003F44FE" w:rsidRDefault="0018103C" w:rsidP="003F44FE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。新作大豆的播种已进入最后阶段，天气利于播种，市场预估巴西新作大豆播种面积将增加至3680万公顷。阿根廷大豆截至12月4日，播种进度为49.3%，前周39%，去年同期44.6%。市场预期阿根廷的新作大豆播种面积将提高到1770万公顷。</w:t>
      </w:r>
    </w:p>
    <w:p w:rsidR="0018103C" w:rsidRPr="003F44FE" w:rsidRDefault="0018103C" w:rsidP="003F44FE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</w:p>
    <w:p w:rsidR="0018103C" w:rsidRPr="003F44FE" w:rsidRDefault="0018103C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海关数据显示，中国11月进口大豆828万吨，较10月份增加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了34%，较去年同期增加了54%。国内12月份大豆集中到港，豆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现货库存偏低。在我国政府的大力扶持下，全国生猪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和能繁母猪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的存栏降幅明显收窄，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能繁母猪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环比上升，根据猪的生长周期，如果非洲猪瘟控制有效，2020年下半年—2021年上半年生猪存栏会有较大幅度的增加。后期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类需求量逐步加大。</w:t>
      </w:r>
    </w:p>
    <w:p w:rsidR="0018103C" w:rsidRPr="003F44FE" w:rsidRDefault="0018103C" w:rsidP="003F44FE">
      <w:pPr>
        <w:spacing w:beforeLines="50" w:before="156" w:afterLines="50" w:after="156" w:line="360" w:lineRule="auto"/>
        <w:ind w:right="480"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综上所述，国内大豆本月集中到港，需求偏弱，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类市场短期震荡运行。远期大豆供应不确定性较大，随着生猪养殖业的逐渐恢复，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类终端需求会有所改善，利于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类远期价格。</w:t>
      </w:r>
    </w:p>
    <w:p w:rsidR="0018103C" w:rsidRPr="003F44FE" w:rsidRDefault="0018103C" w:rsidP="003F44FE">
      <w:pPr>
        <w:spacing w:beforeLines="50" w:before="156" w:afterLines="50" w:after="156" w:line="360" w:lineRule="auto"/>
        <w:ind w:right="480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F44FE" w:rsidRPr="003F44FE" w:rsidRDefault="003F44FE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白糖</w:t>
      </w:r>
    </w:p>
    <w:p w:rsidR="003F44FE" w:rsidRPr="003F44FE" w:rsidRDefault="003F44FE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1" w:name="OLE_LINK2"/>
      <w:proofErr w:type="gramStart"/>
      <w:r w:rsidRPr="003F44FE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t>新糖进入</w:t>
      </w:r>
      <w:proofErr w:type="gramEnd"/>
      <w:r w:rsidRPr="003F44FE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t>压榨高峰，短期压制糖价</w:t>
      </w:r>
      <w:bookmarkStart w:id="2" w:name="OLE_LINK3"/>
      <w:bookmarkStart w:id="3" w:name="OLE_LINK5"/>
      <w:bookmarkStart w:id="4" w:name="OLE_LINK4"/>
      <w:bookmarkEnd w:id="1"/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2019/20榨季集中开榨已经开始，供应相对充足。这是当前空头拿来做文章的主要题材，加之持仓和成交量大幅下降，多头在历经半年的上涨后纷纷获利离场，短期都对白糖价格起到压制作用。但时间进入年末双节备货阶段，供销两旺，价格也不会大幅下跌。本周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预计郑糖价格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小幅震荡下跌。</w:t>
      </w:r>
    </w:p>
    <w:bookmarkEnd w:id="2"/>
    <w:bookmarkEnd w:id="3"/>
    <w:bookmarkEnd w:id="4"/>
    <w:p w:rsidR="0018103C" w:rsidRPr="003F44FE" w:rsidRDefault="003F44FE" w:rsidP="003F44FE">
      <w:pPr>
        <w:spacing w:beforeLines="50" w:before="156" w:afterLines="50" w:after="156" w:line="360" w:lineRule="auto"/>
        <w:ind w:right="480"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2、新榨季印度截止11月底产糖188,5万吨，同比下降53.67%，主要受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马邦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开榨延迟影响。泰国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新糖销售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态势良好，预期泰国甘蔗产量或下滑17%。巴西11月出口食糖194.8万吨，同比增加4.85%。上周基本面平稳，原糖价格来到全年震荡区间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上边界。预计本周原糖价格在上边界附近小幅震荡。</w:t>
      </w:r>
    </w:p>
    <w:p w:rsidR="003F44FE" w:rsidRPr="003F44FE" w:rsidRDefault="003F44FE" w:rsidP="003F44FE">
      <w:pPr>
        <w:spacing w:beforeLines="50" w:before="156" w:afterLines="50" w:after="156" w:line="360" w:lineRule="auto"/>
        <w:ind w:right="480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F44FE" w:rsidRPr="003F44FE" w:rsidRDefault="003F44FE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甲醇</w:t>
      </w:r>
    </w:p>
    <w:p w:rsidR="003F44FE" w:rsidRPr="003F44FE" w:rsidRDefault="003F44FE" w:rsidP="003F44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空头获利离场，甲醇反弹空间有限，谨防追高（震荡）</w:t>
      </w:r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上周甲醇随着1月合约的临近到期换月和空头获利离场，甲醇价格震荡上行。</w:t>
      </w:r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2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甲醇作为液体能化工品，不易储存，且运输费用较高，受到整体宏观影响大，在宏观基本面难有改观的情况下，甲醇价格难有大涨驱动。</w:t>
      </w:r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3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虽然受到季节性利多因素影响，冬季甲醇上游天然气限产，动力煤</w:t>
      </w:r>
      <w:proofErr w:type="gram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挺</w:t>
      </w:r>
      <w:proofErr w:type="gram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价强势，下跌空间有限；下游</w:t>
      </w:r>
      <w:proofErr w:type="spellStart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mto</w:t>
      </w:r>
      <w:proofErr w:type="spellEnd"/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利润可观，开工率保持基本稳定。</w:t>
      </w:r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4、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甲醇港口库存下降明显，但西北库存去库缓慢，并且上周出现小幅上涨，对甲醇利空影响较大。</w:t>
      </w:r>
    </w:p>
    <w:p w:rsidR="003F44FE" w:rsidRPr="003F44FE" w:rsidRDefault="003F44FE" w:rsidP="003F44FE">
      <w:pPr>
        <w:spacing w:beforeLines="50" w:before="156" w:afterLines="50" w:after="156"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5、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短期市场情绪，1月合约面临换月交割，甲醇持仓成交下滑明显，证明空头主动离场并非持仓换月。</w:t>
      </w:r>
    </w:p>
    <w:p w:rsidR="003F44FE" w:rsidRDefault="003F44FE" w:rsidP="003F44FE">
      <w:pPr>
        <w:spacing w:beforeLines="50" w:before="156" w:afterLines="50" w:after="156" w:line="360" w:lineRule="auto"/>
        <w:ind w:right="480"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目前甲醇价格处于历史低点，下跌空间比较有限，但是缺少上涨的驱动。随着2</w:t>
      </w: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001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合约空头获利离场，1月合约或有反弹，0</w:t>
      </w:r>
      <w:r w:rsidRPr="003F44FE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Pr="003F44F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合约以弱势为主，建议观望或震动操作。</w:t>
      </w:r>
    </w:p>
    <w:bookmarkEnd w:id="0"/>
    <w:p w:rsidR="003F44FE" w:rsidRPr="003F44FE" w:rsidRDefault="003F44FE" w:rsidP="003F44FE">
      <w:pPr>
        <w:spacing w:beforeLines="50" w:before="156" w:afterLines="50" w:after="156" w:line="360" w:lineRule="auto"/>
        <w:ind w:right="48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</w:p>
    <w:p w:rsidR="003F44FE" w:rsidRPr="003F44FE" w:rsidRDefault="003F44FE" w:rsidP="003F44FE">
      <w:pPr>
        <w:spacing w:beforeLines="50" w:before="156" w:afterLines="50" w:after="156" w:line="360" w:lineRule="auto"/>
        <w:ind w:right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3F44FE">
        <w:rPr>
          <w:rStyle w:val="a6"/>
          <w:rFonts w:ascii="微软雅黑" w:eastAsia="微软雅黑" w:hAnsi="微软雅黑" w:hint="eastAsia"/>
          <w:color w:val="000000" w:themeColor="text1"/>
          <w:spacing w:val="8"/>
          <w:sz w:val="24"/>
          <w:szCs w:val="24"/>
          <w:shd w:val="clear" w:color="auto" w:fill="FFFFFF"/>
        </w:rPr>
        <w:t>免责声明：本研究报告由金</w:t>
      </w:r>
      <w:proofErr w:type="gramStart"/>
      <w:r w:rsidRPr="003F44FE">
        <w:rPr>
          <w:rStyle w:val="a6"/>
          <w:rFonts w:ascii="微软雅黑" w:eastAsia="微软雅黑" w:hAnsi="微软雅黑" w:hint="eastAsia"/>
          <w:color w:val="000000" w:themeColor="text1"/>
          <w:spacing w:val="8"/>
          <w:sz w:val="24"/>
          <w:szCs w:val="24"/>
          <w:shd w:val="clear" w:color="auto" w:fill="FFFFFF"/>
        </w:rPr>
        <w:t>鹏经济</w:t>
      </w:r>
      <w:proofErr w:type="gramEnd"/>
      <w:r w:rsidRPr="003F44FE">
        <w:rPr>
          <w:rStyle w:val="a6"/>
          <w:rFonts w:ascii="微软雅黑" w:eastAsia="微软雅黑" w:hAnsi="微软雅黑" w:hint="eastAsia"/>
          <w:color w:val="000000" w:themeColor="text1"/>
          <w:spacing w:val="8"/>
          <w:sz w:val="24"/>
          <w:szCs w:val="24"/>
          <w:shd w:val="clear" w:color="auto" w:fill="FFFFFF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3F44FE" w:rsidRPr="003F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18" w:rsidRDefault="001E3418" w:rsidP="003F44FE">
      <w:r>
        <w:separator/>
      </w:r>
    </w:p>
  </w:endnote>
  <w:endnote w:type="continuationSeparator" w:id="0">
    <w:p w:rsidR="001E3418" w:rsidRDefault="001E3418" w:rsidP="003F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18" w:rsidRDefault="001E3418" w:rsidP="003F44FE">
      <w:r>
        <w:separator/>
      </w:r>
    </w:p>
  </w:footnote>
  <w:footnote w:type="continuationSeparator" w:id="0">
    <w:p w:rsidR="001E3418" w:rsidRDefault="001E3418" w:rsidP="003F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95838FA3"/>
    <w:multiLevelType w:val="singleLevel"/>
    <w:tmpl w:val="95838F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561952"/>
    <w:multiLevelType w:val="hybridMultilevel"/>
    <w:tmpl w:val="09EE4828"/>
    <w:lvl w:ilvl="0" w:tplc="77AC657E">
      <w:start w:val="2"/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574B0"/>
    <w:multiLevelType w:val="singleLevel"/>
    <w:tmpl w:val="130574B0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4" w15:restartNumberingAfterBreak="0">
    <w:nsid w:val="14F93DFE"/>
    <w:multiLevelType w:val="hybridMultilevel"/>
    <w:tmpl w:val="287C8A68"/>
    <w:lvl w:ilvl="0" w:tplc="C490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A00024"/>
    <w:multiLevelType w:val="hybridMultilevel"/>
    <w:tmpl w:val="C144F144"/>
    <w:lvl w:ilvl="0" w:tplc="E74AA9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DB4B62"/>
    <w:multiLevelType w:val="hybridMultilevel"/>
    <w:tmpl w:val="6B867786"/>
    <w:lvl w:ilvl="0" w:tplc="279A959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D40A43"/>
    <w:multiLevelType w:val="hybridMultilevel"/>
    <w:tmpl w:val="B152193C"/>
    <w:lvl w:ilvl="0" w:tplc="37B81568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F"/>
    <w:rsid w:val="0018103C"/>
    <w:rsid w:val="001E3418"/>
    <w:rsid w:val="003F44FE"/>
    <w:rsid w:val="007B75FE"/>
    <w:rsid w:val="008459FF"/>
    <w:rsid w:val="009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69361-452A-4290-B671-766190D9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03C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3F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44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4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44FE"/>
    <w:rPr>
      <w:sz w:val="18"/>
      <w:szCs w:val="18"/>
    </w:rPr>
  </w:style>
  <w:style w:type="character" w:styleId="a6">
    <w:name w:val="Strong"/>
    <w:basedOn w:val="a0"/>
    <w:uiPriority w:val="22"/>
    <w:qFormat/>
    <w:rsid w:val="003F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346</Words>
  <Characters>1976</Characters>
  <Application>Microsoft Office Word</Application>
  <DocSecurity>0</DocSecurity>
  <Lines>16</Lines>
  <Paragraphs>4</Paragraphs>
  <ScaleCrop>false</ScaleCrop>
  <Company>shenduxitong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2019-12-09T08:06:00Z</dcterms:created>
  <dcterms:modified xsi:type="dcterms:W3CDTF">2019-12-09T08:32:00Z</dcterms:modified>
</cp:coreProperties>
</file>